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The Frederick Douglas Scholarship Team would love to see a few MISD students on this list year to receive a $500 scholarship!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 1. The Scholarships shall be known as the Tarrant County Frederick Douglass Scholarships.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2. The Scholarships will be awarded on a competitive basis to Scholars currently in high school.  The scholarship committee’s decisions are final.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3. The scholar will be required to enroll as a full-time Scholar in an undergraduate degree program for the full academic year for which the Scholarship is awarded. The scholar will be enrolled for the first time in 2022 at a Tarrant County University, College, or Accredited Trade School.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4. Scholars must be a Texas resident and must be prepared to present a valid social security card.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5. The Scholarship will have a value of $500 and is tenable for one year.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6. The Scholarship may be held in conjunction with other scholarship awards.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7. Eligible candidates must apply for this Scholarship using the attached form (Link Below).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8. Only scholarship recipients will be formally advised that they have been awarded a Scholarship.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9. Candidates may be interviewed by the scholarship committee.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rPr>
          <w:color w:val="666666"/>
          <w:sz w:val="27"/>
          <w:szCs w:val="27"/>
        </w:rPr>
      </w:pPr>
      <w:r w:rsidDel="00000000" w:rsidR="00000000" w:rsidRPr="00000000">
        <w:rPr>
          <w:color w:val="666666"/>
          <w:sz w:val="27"/>
          <w:szCs w:val="27"/>
          <w:rtl w:val="0"/>
        </w:rPr>
        <w:t xml:space="preserve">10. For further inquiries, please contact the FDRS-TC:</w:t>
      </w:r>
    </w:p>
    <w:p w:rsidR="00000000" w:rsidDel="00000000" w:rsidP="00000000" w:rsidRDefault="00000000" w:rsidRPr="00000000" w14:paraId="0000000C">
      <w:pPr>
        <w:rPr/>
      </w:pP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32"/>
            <w:szCs w:val="32"/>
            <w:u w:val="single"/>
            <w:rtl w:val="0"/>
          </w:rPr>
          <w:t xml:space="preserve">2022 Scholarship Application - Frederick Douglass Republicans of Tarrant County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rldefense.com/v3/__https:/frederickdouglassrepublicansoftarrantcounty.org/fdrstc-scholarship-application/__;!!Gqh93DdGiKGeEA!Lbv-5sbpj_S1zx4ngLGNBlrvfsOqtIawlwqWb-zaXzA8LgwhYYqQZFkxx1VpoX2Tfie0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